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3" w:type="dxa"/>
        <w:tblInd w:w="-612" w:type="dxa"/>
        <w:tblLook w:val="01E0" w:firstRow="1" w:lastRow="1" w:firstColumn="1" w:lastColumn="1" w:noHBand="0" w:noVBand="0"/>
      </w:tblPr>
      <w:tblGrid>
        <w:gridCol w:w="4406"/>
        <w:gridCol w:w="6237"/>
      </w:tblGrid>
      <w:tr w:rsidR="009B4265" w:rsidTr="00210D07">
        <w:tc>
          <w:tcPr>
            <w:tcW w:w="4406" w:type="dxa"/>
            <w:hideMark/>
          </w:tcPr>
          <w:p w:rsidR="009B4265" w:rsidRDefault="009B4265" w:rsidP="00210D07">
            <w:pPr>
              <w:jc w:val="center"/>
              <w:rPr>
                <w:sz w:val="26"/>
                <w:szCs w:val="26"/>
              </w:rPr>
            </w:pPr>
            <w:r>
              <w:rPr>
                <w:sz w:val="26"/>
                <w:szCs w:val="26"/>
              </w:rPr>
              <w:t>BỘ TƯ PHÁP</w:t>
            </w:r>
          </w:p>
        </w:tc>
        <w:tc>
          <w:tcPr>
            <w:tcW w:w="6237" w:type="dxa"/>
            <w:hideMark/>
          </w:tcPr>
          <w:p w:rsidR="009B4265" w:rsidRDefault="009B4265" w:rsidP="00210D07">
            <w:pPr>
              <w:jc w:val="center"/>
              <w:rPr>
                <w:b/>
                <w:sz w:val="26"/>
                <w:szCs w:val="26"/>
              </w:rPr>
            </w:pPr>
            <w:r>
              <w:rPr>
                <w:b/>
                <w:sz w:val="26"/>
                <w:szCs w:val="26"/>
              </w:rPr>
              <w:t>CỘNG HÒA XÃ HỘI CHỦ NGHĨA VIỆT NAM</w:t>
            </w:r>
          </w:p>
        </w:tc>
      </w:tr>
      <w:tr w:rsidR="009B4265" w:rsidTr="00210D07">
        <w:tc>
          <w:tcPr>
            <w:tcW w:w="4406" w:type="dxa"/>
          </w:tcPr>
          <w:p w:rsidR="009B4265" w:rsidRDefault="009B4265" w:rsidP="00210D07">
            <w:pPr>
              <w:jc w:val="center"/>
              <w:rPr>
                <w:b/>
                <w:sz w:val="26"/>
                <w:szCs w:val="26"/>
              </w:rPr>
            </w:pPr>
            <w:r>
              <w:rPr>
                <w:b/>
                <w:szCs w:val="26"/>
              </w:rPr>
              <w:t>VỤ TỔ CHỨC CÁN BỘ</w:t>
            </w:r>
          </w:p>
          <w:p w:rsidR="009B4265" w:rsidRDefault="009B4265" w:rsidP="00210D07">
            <w:pPr>
              <w:jc w:val="center"/>
              <w:rPr>
                <w:b/>
                <w:sz w:val="26"/>
                <w:szCs w:val="26"/>
              </w:rPr>
            </w:pPr>
            <w:r>
              <w:rPr>
                <w:noProof/>
              </w:rPr>
              <mc:AlternateContent>
                <mc:Choice Requires="wps">
                  <w:drawing>
                    <wp:anchor distT="0" distB="0" distL="114300" distR="114300" simplePos="0" relativeHeight="251659264" behindDoc="0" locked="0" layoutInCell="1" allowOverlap="1" wp14:anchorId="21628990" wp14:editId="5C4411F5">
                      <wp:simplePos x="0" y="0"/>
                      <wp:positionH relativeFrom="column">
                        <wp:posOffset>965752</wp:posOffset>
                      </wp:positionH>
                      <wp:positionV relativeFrom="paragraph">
                        <wp:posOffset>23772</wp:posOffset>
                      </wp:positionV>
                      <wp:extent cx="60007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770BF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85pt" to="12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6r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"/>
                  </w:pict>
                </mc:Fallback>
              </mc:AlternateContent>
            </w:r>
          </w:p>
          <w:p w:rsidR="009B4265" w:rsidRDefault="009B4265" w:rsidP="00210D07">
            <w:pPr>
              <w:spacing w:after="120"/>
              <w:jc w:val="center"/>
              <w:rPr>
                <w:sz w:val="26"/>
                <w:szCs w:val="26"/>
              </w:rPr>
            </w:pPr>
            <w:r>
              <w:rPr>
                <w:sz w:val="26"/>
                <w:szCs w:val="26"/>
              </w:rPr>
              <w:t>Số:       /BC-TCCB</w:t>
            </w:r>
          </w:p>
          <w:p w:rsidR="009B4265" w:rsidRDefault="009B4265" w:rsidP="00210D07">
            <w:pPr>
              <w:jc w:val="center"/>
              <w:rPr>
                <w:sz w:val="24"/>
                <w:szCs w:val="24"/>
              </w:rPr>
            </w:pPr>
            <w:r>
              <w:rPr>
                <w:sz w:val="24"/>
                <w:szCs w:val="24"/>
              </w:rPr>
              <w:t xml:space="preserve"> </w:t>
            </w:r>
          </w:p>
        </w:tc>
        <w:tc>
          <w:tcPr>
            <w:tcW w:w="6237" w:type="dxa"/>
          </w:tcPr>
          <w:p w:rsidR="009B4265" w:rsidRDefault="009B4265" w:rsidP="00210D07">
            <w:pPr>
              <w:jc w:val="center"/>
              <w:rPr>
                <w:b/>
                <w:szCs w:val="26"/>
              </w:rPr>
            </w:pPr>
            <w:r>
              <w:rPr>
                <w:b/>
                <w:szCs w:val="26"/>
              </w:rPr>
              <w:t>Độc lập - Tự do - Hạnh phúc</w:t>
            </w:r>
          </w:p>
          <w:p w:rsidR="009B4265" w:rsidRDefault="009B4265" w:rsidP="00210D07">
            <w:pPr>
              <w:jc w:val="center"/>
              <w:rPr>
                <w:b/>
                <w:sz w:val="26"/>
                <w:szCs w:val="26"/>
              </w:rPr>
            </w:pPr>
            <w:r>
              <w:rPr>
                <w:noProof/>
              </w:rPr>
              <mc:AlternateContent>
                <mc:Choice Requires="wps">
                  <w:drawing>
                    <wp:anchor distT="0" distB="0" distL="114300" distR="114300" simplePos="0" relativeHeight="251660288" behindDoc="0" locked="0" layoutInCell="1" allowOverlap="1" wp14:anchorId="3A71CA22" wp14:editId="3A6443EF">
                      <wp:simplePos x="0" y="0"/>
                      <wp:positionH relativeFrom="column">
                        <wp:posOffset>836395</wp:posOffset>
                      </wp:positionH>
                      <wp:positionV relativeFrom="paragraph">
                        <wp:posOffset>20955</wp:posOffset>
                      </wp:positionV>
                      <wp:extent cx="2156059" cy="0"/>
                      <wp:effectExtent l="0" t="0" r="158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0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0E9F4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65pt" to="235.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8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"/>
                  </w:pict>
                </mc:Fallback>
              </mc:AlternateContent>
            </w:r>
          </w:p>
          <w:p w:rsidR="009B4265" w:rsidRDefault="009B4265" w:rsidP="003F05A7">
            <w:pPr>
              <w:jc w:val="center"/>
              <w:rPr>
                <w:b/>
                <w:sz w:val="26"/>
                <w:szCs w:val="26"/>
              </w:rPr>
            </w:pPr>
            <w:r>
              <w:rPr>
                <w:i/>
              </w:rPr>
              <w:t>Hà Nội, ngày      tháng     năm 202</w:t>
            </w:r>
            <w:r w:rsidR="003F05A7">
              <w:rPr>
                <w:i/>
              </w:rPr>
              <w:t>2</w:t>
            </w:r>
          </w:p>
        </w:tc>
      </w:tr>
    </w:tbl>
    <w:p w:rsidR="0009667E" w:rsidRPr="009B4265" w:rsidRDefault="009B4265" w:rsidP="006714A1">
      <w:pPr>
        <w:tabs>
          <w:tab w:val="left" w:pos="4005"/>
        </w:tabs>
        <w:jc w:val="center"/>
        <w:rPr>
          <w:b/>
        </w:rPr>
      </w:pPr>
      <w:r w:rsidRPr="009B4265">
        <w:rPr>
          <w:b/>
        </w:rPr>
        <w:t>BÁO CÁO</w:t>
      </w:r>
    </w:p>
    <w:p w:rsidR="009B4265" w:rsidRDefault="009B4265" w:rsidP="009B4265">
      <w:pPr>
        <w:tabs>
          <w:tab w:val="left" w:pos="4005"/>
        </w:tabs>
        <w:jc w:val="center"/>
        <w:rPr>
          <w:b/>
        </w:rPr>
      </w:pPr>
      <w:r>
        <w:rPr>
          <w:b/>
        </w:rPr>
        <w:t>T</w:t>
      </w:r>
      <w:r w:rsidRPr="009B4265">
        <w:rPr>
          <w:b/>
        </w:rPr>
        <w:t xml:space="preserve">iếp </w:t>
      </w:r>
      <w:proofErr w:type="gramStart"/>
      <w:r w:rsidRPr="009B4265">
        <w:rPr>
          <w:b/>
        </w:rPr>
        <w:t>thu</w:t>
      </w:r>
      <w:proofErr w:type="gramEnd"/>
      <w:r w:rsidRPr="009B4265">
        <w:rPr>
          <w:b/>
        </w:rPr>
        <w:t xml:space="preserve">, giải trình ý kiến của Bộ Nội vụ về dự thảo Thông tư </w:t>
      </w:r>
    </w:p>
    <w:p w:rsidR="009B4265" w:rsidRDefault="009B4265" w:rsidP="009B4265">
      <w:pPr>
        <w:tabs>
          <w:tab w:val="left" w:pos="4005"/>
        </w:tabs>
        <w:jc w:val="center"/>
        <w:rPr>
          <w:b/>
        </w:rPr>
      </w:pPr>
      <w:proofErr w:type="gramStart"/>
      <w:r w:rsidRPr="009B4265">
        <w:rPr>
          <w:b/>
        </w:rPr>
        <w:t>của</w:t>
      </w:r>
      <w:proofErr w:type="gramEnd"/>
      <w:r w:rsidRPr="009B4265">
        <w:rPr>
          <w:b/>
        </w:rPr>
        <w:t xml:space="preserve"> Bộ trưởng Bộ Tư pháp quy định tiêu chí phân loại, </w:t>
      </w:r>
    </w:p>
    <w:p w:rsidR="009B4265" w:rsidRDefault="009B4265" w:rsidP="009B4265">
      <w:pPr>
        <w:tabs>
          <w:tab w:val="left" w:pos="4005"/>
        </w:tabs>
        <w:jc w:val="center"/>
        <w:rPr>
          <w:b/>
        </w:rPr>
      </w:pPr>
      <w:proofErr w:type="gramStart"/>
      <w:r w:rsidRPr="009B4265">
        <w:rPr>
          <w:b/>
        </w:rPr>
        <w:t>điều</w:t>
      </w:r>
      <w:proofErr w:type="gramEnd"/>
      <w:r w:rsidRPr="009B4265">
        <w:rPr>
          <w:b/>
        </w:rPr>
        <w:t xml:space="preserve"> kiện thành lập, sáp nhập, hợp nhất, giải thể </w:t>
      </w:r>
    </w:p>
    <w:p w:rsidR="009B4265" w:rsidRDefault="009B4265" w:rsidP="009B4265">
      <w:pPr>
        <w:tabs>
          <w:tab w:val="left" w:pos="4005"/>
        </w:tabs>
        <w:jc w:val="center"/>
        <w:rPr>
          <w:b/>
        </w:rPr>
      </w:pPr>
      <w:proofErr w:type="gramStart"/>
      <w:r w:rsidRPr="009B4265">
        <w:rPr>
          <w:b/>
        </w:rPr>
        <w:t>đơn</w:t>
      </w:r>
      <w:proofErr w:type="gramEnd"/>
      <w:r w:rsidRPr="009B4265">
        <w:rPr>
          <w:b/>
        </w:rPr>
        <w:t xml:space="preserve"> vị sự nghiệp công lập thuộc ngành, lĩnh vực tư pháp</w:t>
      </w:r>
    </w:p>
    <w:p w:rsidR="009B4265" w:rsidRPr="005F1D4F" w:rsidRDefault="00665F44" w:rsidP="006714A1">
      <w:pPr>
        <w:tabs>
          <w:tab w:val="left" w:pos="4005"/>
        </w:tabs>
        <w:jc w:val="center"/>
        <w:rPr>
          <w:b/>
        </w:rPr>
      </w:pPr>
      <w:r>
        <w:rPr>
          <w:noProof/>
        </w:rPr>
        <mc:AlternateContent>
          <mc:Choice Requires="wps">
            <w:drawing>
              <wp:anchor distT="0" distB="0" distL="114300" distR="114300" simplePos="0" relativeHeight="251662336" behindDoc="0" locked="0" layoutInCell="1" allowOverlap="1" wp14:anchorId="687C1B7A" wp14:editId="7C36F966">
                <wp:simplePos x="0" y="0"/>
                <wp:positionH relativeFrom="column">
                  <wp:posOffset>1857375</wp:posOffset>
                </wp:positionH>
                <wp:positionV relativeFrom="paragraph">
                  <wp:posOffset>46990</wp:posOffset>
                </wp:positionV>
                <wp:extent cx="2155825" cy="0"/>
                <wp:effectExtent l="0" t="0" r="3492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0740E3"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3.7pt" to="31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6O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"/>
            </w:pict>
          </mc:Fallback>
        </mc:AlternateContent>
      </w:r>
    </w:p>
    <w:p w:rsidR="009B4265" w:rsidRPr="005F1D4F" w:rsidRDefault="009B4265" w:rsidP="006714A1">
      <w:pPr>
        <w:tabs>
          <w:tab w:val="left" w:pos="4005"/>
        </w:tabs>
        <w:spacing w:before="240" w:after="80" w:line="340" w:lineRule="exact"/>
        <w:ind w:firstLine="709"/>
        <w:jc w:val="both"/>
      </w:pPr>
      <w:r w:rsidRPr="00665F44">
        <w:t>Thực hiện đề nghị của Bộ Tư pháp tại Công văn số 3930/BTP-TCCB ngày 28/10/2021 về việc góp ý dự thảo Thông tư</w:t>
      </w:r>
      <w:r w:rsidR="00665F44" w:rsidRPr="00665F44">
        <w:t xml:space="preserve"> của Bộ trưởng Bộ Tư pháp quy định tiêu chí phân loại, điều kiện thành lập, sáp nhập, hợp nhất, giải thể đơn vị sự nghiệp công lập thuộc ngàn</w:t>
      </w:r>
      <w:bookmarkStart w:id="0" w:name="_GoBack"/>
      <w:bookmarkEnd w:id="0"/>
      <w:r w:rsidR="00665F44" w:rsidRPr="00665F44">
        <w:t>h, lĩnh vực tư pháp</w:t>
      </w:r>
      <w:r w:rsidR="00665F44">
        <w:t xml:space="preserve"> (sau đây gọi là dự thảo Thông tư)</w:t>
      </w:r>
      <w:r w:rsidRPr="005F1D4F">
        <w:t>, Bộ Nội vụ đã có Công văn số 5829/BNV-TCBC ngày 21/11/2021, Vụ Tổ chức cán bộ xin báo cáo về việc tiếp thu, giải trình ý kiến của Bộ Nội vụ về dự thảo Thông tư, cụ thể như sau:</w:t>
      </w:r>
    </w:p>
    <w:p w:rsidR="009B4265" w:rsidRPr="005F1D4F" w:rsidRDefault="009B4265" w:rsidP="006714A1">
      <w:pPr>
        <w:spacing w:before="80" w:after="80" w:line="340" w:lineRule="exact"/>
        <w:ind w:firstLine="709"/>
        <w:jc w:val="both"/>
        <w:rPr>
          <w:b/>
        </w:rPr>
      </w:pPr>
      <w:r w:rsidRPr="005F1D4F">
        <w:rPr>
          <w:b/>
        </w:rPr>
        <w:t>1. Về đối tượng áp dụng (Điều 2)</w:t>
      </w:r>
    </w:p>
    <w:p w:rsidR="009B4265" w:rsidRPr="005F1D4F" w:rsidRDefault="009B4265" w:rsidP="006714A1">
      <w:pPr>
        <w:spacing w:before="80" w:after="80" w:line="340" w:lineRule="exact"/>
        <w:ind w:firstLine="709"/>
        <w:jc w:val="both"/>
      </w:pPr>
      <w:r w:rsidRPr="005F1D4F">
        <w:t>Bộ Nội vụ đề nghị biên tập lại như sau:</w:t>
      </w:r>
    </w:p>
    <w:p w:rsidR="009B4265" w:rsidRPr="005F1D4F" w:rsidRDefault="009B4265" w:rsidP="006714A1">
      <w:pPr>
        <w:spacing w:before="80" w:after="80" w:line="340" w:lineRule="exact"/>
        <w:ind w:firstLine="709"/>
        <w:jc w:val="both"/>
      </w:pPr>
      <w:r w:rsidRPr="005F1D4F">
        <w:t xml:space="preserve">“1. Đơn vị sự nghiệp công lập được cấp có thẩm quyền thành lập </w:t>
      </w:r>
      <w:proofErr w:type="gramStart"/>
      <w:r w:rsidRPr="005F1D4F">
        <w:t>theo</w:t>
      </w:r>
      <w:proofErr w:type="gramEnd"/>
      <w:r w:rsidRPr="005F1D4F">
        <w:t xml:space="preserve"> quy định của pháp luật hoạt động trong lĩnh vực sự nghiệp côn</w:t>
      </w:r>
      <w:r w:rsidR="006714A1">
        <w:t xml:space="preserve">g thuộc ngành, lĩnh vực tư pháp; </w:t>
      </w:r>
      <w:r w:rsidRPr="005F1D4F">
        <w:t xml:space="preserve">2. </w:t>
      </w:r>
      <w:proofErr w:type="gramStart"/>
      <w:r w:rsidRPr="005F1D4F">
        <w:t xml:space="preserve">Cơ quan, tổ chức, cá nhân có liên quan trong việc thành lập, sáp nhập, hợp nhất, giải thể </w:t>
      </w:r>
      <w:r w:rsidR="00E45CA5">
        <w:t>đ</w:t>
      </w:r>
      <w:r w:rsidRPr="005F1D4F">
        <w:t>ơn vị sự nghiệp công lập thuộc ngành, lĩnh vực tư pháp.”</w:t>
      </w:r>
      <w:proofErr w:type="gramEnd"/>
    </w:p>
    <w:p w:rsidR="009B4265" w:rsidRPr="005F1D4F" w:rsidRDefault="009B4265" w:rsidP="006714A1">
      <w:pPr>
        <w:spacing w:before="80" w:after="80" w:line="340" w:lineRule="exact"/>
        <w:ind w:firstLine="709"/>
        <w:jc w:val="both"/>
      </w:pPr>
      <w:r w:rsidRPr="005F1D4F">
        <w:t xml:space="preserve">Tiếp </w:t>
      </w:r>
      <w:proofErr w:type="gramStart"/>
      <w:r w:rsidRPr="005F1D4F">
        <w:t>thu</w:t>
      </w:r>
      <w:proofErr w:type="gramEnd"/>
      <w:r w:rsidR="008C424D">
        <w:t xml:space="preserve"> ý kiến của Bộ Nội vụ, Vụ Tổ chức cán bộ đã c</w:t>
      </w:r>
      <w:r w:rsidR="005920B6">
        <w:t>hỉnh lý Điều 2 dự thảo Thông tư.</w:t>
      </w:r>
    </w:p>
    <w:p w:rsidR="009B4265" w:rsidRPr="005F1D4F" w:rsidRDefault="009B4265" w:rsidP="006714A1">
      <w:pPr>
        <w:spacing w:before="80" w:after="80" w:line="340" w:lineRule="exact"/>
        <w:ind w:firstLine="709"/>
        <w:jc w:val="both"/>
        <w:rPr>
          <w:b/>
        </w:rPr>
      </w:pPr>
      <w:r w:rsidRPr="005F1D4F">
        <w:rPr>
          <w:b/>
        </w:rPr>
        <w:t>2. Về giải thích từ ngữ (Điều 3)</w:t>
      </w:r>
    </w:p>
    <w:p w:rsidR="009B4265" w:rsidRPr="005F1D4F" w:rsidRDefault="009B4265" w:rsidP="006714A1">
      <w:pPr>
        <w:spacing w:before="80" w:after="80" w:line="340" w:lineRule="exact"/>
        <w:ind w:firstLine="709"/>
        <w:jc w:val="both"/>
      </w:pPr>
      <w:r w:rsidRPr="005F1D4F">
        <w:t xml:space="preserve">Ý kiến của Bộ Nội vụ: Đề nghị cân nhắc đối với nội dung giải thích từ ngữ, trường hợp cần thiết thì biên tập bảo đảm thống nhất với quy định về chia, tách, sáp nhập, hợp nhất pháp nhân tại Chương IV Bộ luật Dân sự năm 2015. </w:t>
      </w:r>
    </w:p>
    <w:p w:rsidR="009B4265" w:rsidRPr="005F1D4F" w:rsidRDefault="008C424D" w:rsidP="006714A1">
      <w:pPr>
        <w:spacing w:before="80" w:after="80" w:line="340" w:lineRule="exact"/>
        <w:ind w:firstLine="709"/>
        <w:jc w:val="both"/>
      </w:pPr>
      <w:r>
        <w:t xml:space="preserve">Tiếp thu ý kiến của Bộ Nội vụ, Vụ Tổ chức cán bộ đã bỏ nội dung về giải thích từ ngữ, do các điều khoản khác của Thông tư cũng đã được tiếp thu, chỉnh </w:t>
      </w:r>
      <w:proofErr w:type="gramStart"/>
      <w:r>
        <w:t>lý</w:t>
      </w:r>
      <w:proofErr w:type="gramEnd"/>
      <w:r>
        <w:t>, theo đó không cần thiết quy định về giải thích từ ngữ trong dự thảo Thông tư.</w:t>
      </w:r>
    </w:p>
    <w:p w:rsidR="009B4265" w:rsidRPr="005F1D4F" w:rsidRDefault="009B4265" w:rsidP="006714A1">
      <w:pPr>
        <w:spacing w:before="80" w:after="80" w:line="340" w:lineRule="exact"/>
        <w:ind w:firstLine="709"/>
        <w:jc w:val="both"/>
        <w:rPr>
          <w:b/>
        </w:rPr>
      </w:pPr>
      <w:r w:rsidRPr="005F1D4F">
        <w:rPr>
          <w:b/>
        </w:rPr>
        <w:t>3. Về nguyên tắc thành lập, sáp nhập, hợp nhất, giải thể các đơn vị sự nghiệp công lập ngành, lĩnh vực tư pháp (Điều 4)</w:t>
      </w:r>
    </w:p>
    <w:p w:rsidR="009B4265" w:rsidRPr="005F1D4F" w:rsidRDefault="009B4265" w:rsidP="006714A1">
      <w:pPr>
        <w:spacing w:before="80" w:after="80" w:line="340" w:lineRule="exact"/>
        <w:ind w:firstLine="709"/>
        <w:jc w:val="both"/>
      </w:pPr>
      <w:r w:rsidRPr="005F1D4F">
        <w:t>Ý kiến của Bộ Nội vụ: Nội dung quy định tại khoản 2 chưa phải là nguyên tắc để thành lập, sáp nhập, hợp nhất, giải thể các đơn vị sự nghiệp công lập ngành, lĩnh vực tư pháp; căn cứ quy định của pháp luật chuyên ngành, lĩnh vực tư pháp đề nghị biên tập lại các nguyên tắc cho phù hợp.</w:t>
      </w:r>
    </w:p>
    <w:p w:rsidR="009B4265" w:rsidRDefault="008C424D" w:rsidP="006714A1">
      <w:pPr>
        <w:spacing w:before="80" w:after="80" w:line="340" w:lineRule="exact"/>
        <w:ind w:firstLine="709"/>
        <w:jc w:val="both"/>
      </w:pPr>
      <w:r>
        <w:lastRenderedPageBreak/>
        <w:t>Tiếp thu ý kiến của Bộ Nội vụ, Vụ Tổ chức cán bộ đã chỉnh lý quy định về nguyên tắc thành lập</w:t>
      </w:r>
      <w:proofErr w:type="gramStart"/>
      <w:r>
        <w:t>,  như</w:t>
      </w:r>
      <w:proofErr w:type="gramEnd"/>
      <w:r>
        <w:t xml:space="preserve"> sau:</w:t>
      </w:r>
    </w:p>
    <w:p w:rsidR="008C424D" w:rsidRPr="008C424D" w:rsidRDefault="008C424D" w:rsidP="006714A1">
      <w:pPr>
        <w:widowControl w:val="0"/>
        <w:spacing w:before="80" w:after="80" w:line="340" w:lineRule="exact"/>
        <w:ind w:firstLine="706"/>
        <w:jc w:val="both"/>
        <w:rPr>
          <w:rFonts w:eastAsiaTheme="minorHAnsi" w:cstheme="minorBidi"/>
          <w:b/>
        </w:rPr>
      </w:pPr>
      <w:r>
        <w:rPr>
          <w:rFonts w:eastAsiaTheme="minorHAnsi" w:cstheme="minorBidi"/>
          <w:b/>
          <w:lang w:val="pt-BR"/>
        </w:rPr>
        <w:t>“</w:t>
      </w:r>
      <w:r w:rsidRPr="008C424D">
        <w:rPr>
          <w:rFonts w:eastAsiaTheme="minorHAnsi" w:cstheme="minorBidi"/>
          <w:b/>
          <w:lang w:val="pt-BR"/>
        </w:rPr>
        <w:t xml:space="preserve">Điều 3. Nguyên tắc </w:t>
      </w:r>
      <w:r w:rsidRPr="008C424D">
        <w:rPr>
          <w:rFonts w:eastAsiaTheme="minorHAnsi" w:cstheme="minorBidi"/>
          <w:b/>
        </w:rPr>
        <w:t>thành lập, sáp nhập, hợp nhất, giải thể các đơn vị sự nghiệp công lập</w:t>
      </w:r>
    </w:p>
    <w:p w:rsidR="008C424D" w:rsidRPr="008C424D" w:rsidRDefault="008C424D" w:rsidP="006714A1">
      <w:pPr>
        <w:widowControl w:val="0"/>
        <w:spacing w:before="80" w:after="80" w:line="340" w:lineRule="exact"/>
        <w:ind w:right="-58" w:firstLine="706"/>
        <w:jc w:val="both"/>
        <w:rPr>
          <w:rFonts w:eastAsia="Calibri" w:cstheme="minorBidi"/>
          <w:b/>
        </w:rPr>
      </w:pPr>
      <w:r w:rsidRPr="008C424D">
        <w:rPr>
          <w:rFonts w:eastAsiaTheme="minorHAnsi" w:cstheme="minorBidi"/>
          <w:lang w:val="pt-BR"/>
        </w:rPr>
        <w:t xml:space="preserve">1. </w:t>
      </w:r>
      <w:r w:rsidRPr="008C424D">
        <w:rPr>
          <w:rFonts w:eastAsiaTheme="minorHAnsi" w:cstheme="minorBidi"/>
        </w:rPr>
        <w:t>Phù hợp với quy định tại Điều 4 Nghị định số 120/2020/NĐ-CP ngày 07 tháng 10 năm 2020 của Chính phủ quy định về thành lập, tổ chức lại, giải thể đơn vị sự nghiệp công lập.</w:t>
      </w:r>
    </w:p>
    <w:p w:rsidR="008C424D" w:rsidRPr="008C424D" w:rsidRDefault="008C424D" w:rsidP="006714A1">
      <w:pPr>
        <w:widowControl w:val="0"/>
        <w:spacing w:before="80" w:after="80" w:line="340" w:lineRule="exact"/>
        <w:ind w:right="-57" w:firstLine="706"/>
        <w:jc w:val="both"/>
        <w:rPr>
          <w:color w:val="000000"/>
        </w:rPr>
      </w:pPr>
      <w:r w:rsidRPr="008C424D">
        <w:rPr>
          <w:rFonts w:eastAsia="Calibri"/>
          <w:bCs/>
        </w:rPr>
        <w:t>2. Ngoài các nguyên tắc chung quy định tại khoản 1 Điều này, việc thành lập, sáp nhập, hợp nhất đơn vị sự nghiệp công lập phải phù hợp với tiêu chí phân loại đơn vị sự nghiệp công lập theo quy định tại Điều 4 T</w:t>
      </w:r>
      <w:r>
        <w:rPr>
          <w:rFonts w:eastAsia="Calibri"/>
          <w:bCs/>
        </w:rPr>
        <w:t>hông tư này”.</w:t>
      </w:r>
    </w:p>
    <w:p w:rsidR="009B4265" w:rsidRPr="005F1D4F" w:rsidRDefault="009B4265" w:rsidP="006714A1">
      <w:pPr>
        <w:spacing w:before="80" w:after="80" w:line="340" w:lineRule="exact"/>
        <w:ind w:firstLine="709"/>
        <w:jc w:val="both"/>
        <w:rPr>
          <w:b/>
        </w:rPr>
      </w:pPr>
      <w:r w:rsidRPr="005F1D4F">
        <w:rPr>
          <w:b/>
        </w:rPr>
        <w:t>4. Về tiêu chí phân loại đơn vị sự nghiệp công lập (Điều 5)</w:t>
      </w:r>
    </w:p>
    <w:p w:rsidR="009B4265" w:rsidRPr="005F1D4F" w:rsidRDefault="009B4265" w:rsidP="006714A1">
      <w:pPr>
        <w:spacing w:before="80" w:after="80" w:line="340" w:lineRule="exact"/>
        <w:ind w:firstLine="709"/>
        <w:jc w:val="both"/>
        <w:rPr>
          <w:spacing w:val="2"/>
        </w:rPr>
      </w:pPr>
      <w:r w:rsidRPr="005F1D4F">
        <w:t xml:space="preserve">Ý kiến của Bộ Nội vụ: </w:t>
      </w:r>
      <w:r w:rsidRPr="005F1D4F">
        <w:rPr>
          <w:spacing w:val="2"/>
        </w:rPr>
        <w:t xml:space="preserve">Căn cứ quy định tại khoản 1 Điều 9 Luật Viên chức năm 2010, đề nghị nghị bổ sung tiêu chí phân loại theo chức năng, nhiệm vụ của đơn vị sự nghiệp công lập tại Điều 5 theo 02 nhóm tiêu chí sau: (1) Phục vụ quản lý nhà nước; (2) Cung ứng dịch vụ sự nghiệp công theo ngành, lĩnh vực và bổ sung tiêu chí phân loại theo cơ quan có thẩm quyền thành lập đơn vị sự nghiệp công lập ngành tư pháp bảo đảm phù hợp với quy định của pháp luật chuyên ngành và Nghị định số 120/2020/NĐ-CP. </w:t>
      </w:r>
    </w:p>
    <w:p w:rsidR="008B344C" w:rsidRPr="008C424D" w:rsidRDefault="008C424D" w:rsidP="006714A1">
      <w:pPr>
        <w:pStyle w:val="NormalWeb"/>
        <w:autoSpaceDE w:val="0"/>
        <w:autoSpaceDN w:val="0"/>
        <w:spacing w:before="80" w:beforeAutospacing="0" w:after="80" w:afterAutospacing="0" w:line="340" w:lineRule="exact"/>
        <w:ind w:firstLine="709"/>
        <w:jc w:val="both"/>
        <w:rPr>
          <w:sz w:val="28"/>
          <w:szCs w:val="28"/>
        </w:rPr>
      </w:pPr>
      <w:r w:rsidRPr="008C424D">
        <w:rPr>
          <w:sz w:val="28"/>
          <w:szCs w:val="28"/>
        </w:rPr>
        <w:t>Tiếp thu ý kiến của Bộ Nội vụ, Vụ Tổ chức cán bộ đã chỉnh lý nội dung về tiêu chí phân loại đơn vị sự nghiệp công lập theo các tiêu chí: (1) Đơn vị sự nghiệp công lập phục vụ quản lý nhà nước</w:t>
      </w:r>
      <w:r>
        <w:rPr>
          <w:sz w:val="28"/>
          <w:szCs w:val="28"/>
        </w:rPr>
        <w:t xml:space="preserve">; (2) </w:t>
      </w:r>
      <w:r w:rsidRPr="008C424D">
        <w:rPr>
          <w:sz w:val="28"/>
          <w:szCs w:val="28"/>
        </w:rPr>
        <w:t>Đơn vị sự nghiệp công lập cung ứng dịch vụ sự nghiệp công</w:t>
      </w:r>
      <w:r>
        <w:rPr>
          <w:sz w:val="28"/>
          <w:szCs w:val="28"/>
        </w:rPr>
        <w:t>; (3)</w:t>
      </w:r>
      <w:r w:rsidRPr="008C424D">
        <w:rPr>
          <w:sz w:val="28"/>
          <w:szCs w:val="28"/>
        </w:rPr>
        <w:t xml:space="preserve"> Đơn vị sự nghiệp công</w:t>
      </w:r>
      <w:r w:rsidRPr="001204A5">
        <w:rPr>
          <w:sz w:val="28"/>
          <w:szCs w:val="28"/>
        </w:rPr>
        <w:t xml:space="preserve"> lập phục vụ quản lý nhà nước và cung </w:t>
      </w:r>
      <w:r>
        <w:rPr>
          <w:sz w:val="28"/>
          <w:szCs w:val="28"/>
        </w:rPr>
        <w:t>ứng</w:t>
      </w:r>
      <w:r w:rsidRPr="001204A5">
        <w:rPr>
          <w:sz w:val="28"/>
          <w:szCs w:val="28"/>
        </w:rPr>
        <w:t xml:space="preserve"> dịch vụ sự nghiệp công</w:t>
      </w:r>
      <w:r>
        <w:rPr>
          <w:sz w:val="28"/>
          <w:szCs w:val="28"/>
        </w:rPr>
        <w:t>; (4)</w:t>
      </w:r>
      <w:r w:rsidRPr="00964750">
        <w:rPr>
          <w:sz w:val="28"/>
          <w:szCs w:val="28"/>
        </w:rPr>
        <w:t xml:space="preserve"> Phân loại theo </w:t>
      </w:r>
      <w:r w:rsidRPr="00964750">
        <w:rPr>
          <w:spacing w:val="2"/>
          <w:sz w:val="28"/>
          <w:szCs w:val="28"/>
        </w:rPr>
        <w:t>cơ quan có thẩm quyền thành lập</w:t>
      </w:r>
      <w:r>
        <w:rPr>
          <w:sz w:val="28"/>
          <w:szCs w:val="28"/>
        </w:rPr>
        <w:t>; (5)</w:t>
      </w:r>
      <w:r w:rsidRPr="001204A5">
        <w:rPr>
          <w:sz w:val="28"/>
          <w:szCs w:val="28"/>
        </w:rPr>
        <w:t xml:space="preserve"> Phân loại theo mức độ tự chủ về tài chính</w:t>
      </w:r>
      <w:r>
        <w:rPr>
          <w:sz w:val="28"/>
          <w:szCs w:val="28"/>
        </w:rPr>
        <w:t xml:space="preserve"> (cụ thể tại dự thảo Thông tư đã được tiếp thu, chỉnh lý).</w:t>
      </w:r>
    </w:p>
    <w:p w:rsidR="009B4265" w:rsidRPr="005F1D4F" w:rsidRDefault="009B4265" w:rsidP="006714A1">
      <w:pPr>
        <w:spacing w:before="80" w:after="80" w:line="340" w:lineRule="exact"/>
        <w:ind w:firstLine="709"/>
        <w:jc w:val="both"/>
        <w:rPr>
          <w:b/>
          <w:spacing w:val="-2"/>
        </w:rPr>
      </w:pPr>
      <w:r w:rsidRPr="005F1D4F">
        <w:rPr>
          <w:b/>
          <w:spacing w:val="-2"/>
        </w:rPr>
        <w:t>5. Về điều kiện thành lập đơn vị sự nghiệp công lập (Điều 6)</w:t>
      </w:r>
    </w:p>
    <w:p w:rsidR="009B4265" w:rsidRPr="005F1D4F" w:rsidRDefault="009B4265" w:rsidP="006714A1">
      <w:pPr>
        <w:spacing w:before="80" w:after="80" w:line="340" w:lineRule="exact"/>
        <w:ind w:firstLine="709"/>
        <w:jc w:val="both"/>
        <w:rPr>
          <w:spacing w:val="2"/>
        </w:rPr>
      </w:pPr>
      <w:r w:rsidRPr="005F1D4F">
        <w:t xml:space="preserve">Ý kiến của Bộ Nội vụ: </w:t>
      </w:r>
      <w:r w:rsidRPr="005F1D4F">
        <w:rPr>
          <w:spacing w:val="-2"/>
        </w:rPr>
        <w:t xml:space="preserve">Đề nghị bỏ khoản 2, vì nội dung hướng dẫn này không phải là điều kiện để thành lập đơn vị sự nghiệp công lập ngành tư pháp; căn cứ </w:t>
      </w:r>
      <w:r w:rsidRPr="005F1D4F">
        <w:rPr>
          <w:spacing w:val="2"/>
        </w:rPr>
        <w:t xml:space="preserve">quy định của pháp luật chuyên ngành, lĩnh vực tư pháp, đề nghị nghiên cứu, bổ sung hướng dẫn về điều kiện thành lập đơn vị sự nghiệp công lập ngành tư pháp cho phù hợp. </w:t>
      </w:r>
    </w:p>
    <w:p w:rsidR="009B4265" w:rsidRDefault="008C424D" w:rsidP="006714A1">
      <w:pPr>
        <w:spacing w:before="80" w:after="80" w:line="340" w:lineRule="exact"/>
        <w:ind w:firstLine="709"/>
        <w:jc w:val="both"/>
      </w:pPr>
      <w:r>
        <w:t xml:space="preserve">Tiếp </w:t>
      </w:r>
      <w:proofErr w:type="gramStart"/>
      <w:r>
        <w:t>thu</w:t>
      </w:r>
      <w:proofErr w:type="gramEnd"/>
      <w:r>
        <w:t xml:space="preserve"> ý kiến của Bộ Nội vụ, Vụ Tổ chức cán bộ đã chỉnh lý quy định về điều kiện thành lập đơn vị sự nghiệp công lập như sau:</w:t>
      </w:r>
    </w:p>
    <w:p w:rsidR="008C424D" w:rsidRPr="001204A5" w:rsidRDefault="008C424D" w:rsidP="006714A1">
      <w:pPr>
        <w:pStyle w:val="NormalWeb"/>
        <w:autoSpaceDE w:val="0"/>
        <w:autoSpaceDN w:val="0"/>
        <w:spacing w:before="80" w:beforeAutospacing="0" w:after="80" w:afterAutospacing="0" w:line="340" w:lineRule="exact"/>
        <w:ind w:firstLine="709"/>
        <w:jc w:val="both"/>
        <w:rPr>
          <w:sz w:val="28"/>
          <w:szCs w:val="28"/>
        </w:rPr>
      </w:pPr>
      <w:r>
        <w:rPr>
          <w:sz w:val="28"/>
          <w:szCs w:val="28"/>
        </w:rPr>
        <w:t>“</w:t>
      </w:r>
      <w:r w:rsidRPr="001204A5">
        <w:rPr>
          <w:sz w:val="28"/>
          <w:szCs w:val="28"/>
        </w:rPr>
        <w:t xml:space="preserve">1. Đáp ứng đồng thời các điều kiện thành lập đơn vị sự nghiệp công lập quy định tại </w:t>
      </w:r>
      <w:bookmarkStart w:id="1" w:name="dc_1"/>
      <w:r>
        <w:rPr>
          <w:sz w:val="28"/>
          <w:szCs w:val="28"/>
        </w:rPr>
        <w:t>điểm a, c, d, đ</w:t>
      </w:r>
      <w:r w:rsidRPr="001204A5">
        <w:rPr>
          <w:sz w:val="28"/>
          <w:szCs w:val="28"/>
        </w:rPr>
        <w:t xml:space="preserve"> khoản 1 Điều 5 Nghị định số 120/2020/NĐ-CP</w:t>
      </w:r>
      <w:bookmarkEnd w:id="1"/>
      <w:r>
        <w:rPr>
          <w:sz w:val="28"/>
          <w:szCs w:val="28"/>
        </w:rPr>
        <w:t>.</w:t>
      </w:r>
    </w:p>
    <w:p w:rsidR="008C424D" w:rsidRPr="008C424D" w:rsidRDefault="008C424D" w:rsidP="006714A1">
      <w:pPr>
        <w:pStyle w:val="NormalWeb"/>
        <w:autoSpaceDE w:val="0"/>
        <w:autoSpaceDN w:val="0"/>
        <w:spacing w:before="80" w:beforeAutospacing="0" w:after="80" w:afterAutospacing="0" w:line="340" w:lineRule="exact"/>
        <w:ind w:firstLine="709"/>
        <w:jc w:val="both"/>
        <w:rPr>
          <w:sz w:val="28"/>
          <w:szCs w:val="28"/>
        </w:rPr>
      </w:pPr>
      <w:r w:rsidRPr="001204A5">
        <w:rPr>
          <w:sz w:val="28"/>
          <w:szCs w:val="28"/>
        </w:rPr>
        <w:t xml:space="preserve">2. Ngoài các điều kiện chung quy định tại khoản 1 Điều này, việc thành lập các đơn vị sự nghiệp công lập thuộc ngành, lĩnh vực </w:t>
      </w:r>
      <w:r>
        <w:rPr>
          <w:sz w:val="28"/>
          <w:szCs w:val="28"/>
        </w:rPr>
        <w:t xml:space="preserve">tư pháp </w:t>
      </w:r>
      <w:r w:rsidRPr="001204A5">
        <w:rPr>
          <w:sz w:val="28"/>
          <w:szCs w:val="28"/>
        </w:rPr>
        <w:t>còn phải đáp ứng tiêu chí, điều kiện theo quy định của pháp luật chuyên ngành (nếu có)</w:t>
      </w:r>
      <w:r>
        <w:rPr>
          <w:sz w:val="28"/>
          <w:szCs w:val="28"/>
        </w:rPr>
        <w:t>”</w:t>
      </w:r>
      <w:r w:rsidRPr="001204A5">
        <w:rPr>
          <w:sz w:val="28"/>
          <w:szCs w:val="28"/>
        </w:rPr>
        <w:t>.</w:t>
      </w:r>
    </w:p>
    <w:p w:rsidR="009B4265" w:rsidRPr="008C424D" w:rsidRDefault="009B4265" w:rsidP="006714A1">
      <w:pPr>
        <w:spacing w:before="80" w:after="80" w:line="340" w:lineRule="exact"/>
        <w:ind w:firstLine="709"/>
        <w:jc w:val="both"/>
        <w:rPr>
          <w:b/>
        </w:rPr>
      </w:pPr>
      <w:r w:rsidRPr="005F1D4F">
        <w:rPr>
          <w:b/>
          <w:spacing w:val="-2"/>
        </w:rPr>
        <w:lastRenderedPageBreak/>
        <w:t>6. Về điều kiện để sáp nhập, hợp nhất đơn vị sự nghiệp công lập ngành tư pháp (khoản 2 Điều 7, khoản 2 Điều 8)</w:t>
      </w:r>
      <w:r w:rsidR="008C424D">
        <w:rPr>
          <w:b/>
          <w:spacing w:val="-2"/>
        </w:rPr>
        <w:t xml:space="preserve"> và </w:t>
      </w:r>
      <w:r w:rsidR="008C424D" w:rsidRPr="005F1D4F">
        <w:rPr>
          <w:b/>
        </w:rPr>
        <w:t>mức độ tự chủ về tài chính của đơn vị sự nghiệp công lập ngành, lĩnh vực tư pháp sau khi nhận sáp nhập, hợp nhất (khoản 3 Điều 7, khoản 3 Điều 8)</w:t>
      </w:r>
    </w:p>
    <w:p w:rsidR="009B4265" w:rsidRPr="008C424D" w:rsidRDefault="009B4265" w:rsidP="006714A1">
      <w:pPr>
        <w:spacing w:before="80" w:after="80" w:line="340" w:lineRule="exact"/>
        <w:ind w:firstLine="709"/>
        <w:jc w:val="both"/>
        <w:rPr>
          <w:spacing w:val="-2"/>
        </w:rPr>
      </w:pPr>
      <w:r w:rsidRPr="005F1D4F">
        <w:t xml:space="preserve">Ý kiến của Bộ Nội vụ: </w:t>
      </w:r>
      <w:r w:rsidR="008C424D">
        <w:t xml:space="preserve">(1) </w:t>
      </w:r>
      <w:r w:rsidRPr="005F1D4F">
        <w:rPr>
          <w:spacing w:val="-2"/>
        </w:rPr>
        <w:t>Nội dung hướng dẫn này có thể biên tập trong Đề án sáp nhập, hợp nhất đơn vị sự nghiệp công lập ngành, lĩnh vực tư pháp (không phải là điều kiện để sáp nhập, hợp nhất đơn vị sự nghiệp cô</w:t>
      </w:r>
      <w:r w:rsidR="008C424D">
        <w:rPr>
          <w:spacing w:val="-2"/>
        </w:rPr>
        <w:t xml:space="preserve">ng lập ngành, lĩnh vực tư pháp); (2) </w:t>
      </w:r>
      <w:r w:rsidRPr="005F1D4F">
        <w:t>Căn cứ quy định tại Nghị định số 60/2021/NĐ-CP ngày 21/6/2021 của Chính phủ quy định cơ chế tự chủ tài chính của đơn vị sự nghiệp công lập ngành, lĩnh vực tư pháp và các văn bản hướng dẫn thi hành; căn cứ chức năng, nhiệm vụ và nguồn tài chính của đơn vị sự nghiệp công lập ngành, lĩnh vực tư pháp sau khi thực hiện sáp nhập, hợp nhất để xây dựng Đề án tự chủ và xác định mức độ tự chủ về tài chính cho phù hợp, trình cấp có thẩm quyền phê duyệt, bảo đảm phù hợp với quy định tại điểm c khoản 2 Điều 5 Nghị định số 120/2020/NĐ-CP. Theo đó, đề nghị biên tập lại khoản 3 Điều 7, khoản 3 Điều 8 dự thảo Thông tư cho phù hợp.</w:t>
      </w:r>
    </w:p>
    <w:p w:rsidR="009B4265" w:rsidRDefault="008C424D" w:rsidP="006714A1">
      <w:pPr>
        <w:spacing w:before="80" w:after="80" w:line="340" w:lineRule="exact"/>
        <w:ind w:firstLine="709"/>
        <w:jc w:val="both"/>
      </w:pPr>
      <w:r>
        <w:t xml:space="preserve">Tiếp thu ý kiến của Bộ Nội vụ, Vụ Tổ chức cán bộ đã chỉnh lý quy định về điều kiện sáp nhập, hợp nhất </w:t>
      </w:r>
      <w:r w:rsidR="00665F44">
        <w:t>đơn vị sự nghiệp công lập như sau:</w:t>
      </w:r>
    </w:p>
    <w:p w:rsidR="00665F44" w:rsidRPr="001204A5" w:rsidRDefault="00665F44" w:rsidP="006714A1">
      <w:pPr>
        <w:pStyle w:val="NormalWeb"/>
        <w:autoSpaceDE w:val="0"/>
        <w:autoSpaceDN w:val="0"/>
        <w:spacing w:before="80" w:beforeAutospacing="0" w:after="80" w:afterAutospacing="0" w:line="340" w:lineRule="exact"/>
        <w:ind w:firstLine="709"/>
        <w:jc w:val="both"/>
        <w:rPr>
          <w:sz w:val="28"/>
          <w:szCs w:val="28"/>
        </w:rPr>
      </w:pPr>
      <w:proofErr w:type="gramStart"/>
      <w:r>
        <w:t>“</w:t>
      </w:r>
      <w:r w:rsidRPr="001204A5">
        <w:rPr>
          <w:sz w:val="28"/>
          <w:szCs w:val="28"/>
        </w:rPr>
        <w:t xml:space="preserve">1. Việc sáp nhập, hợp nhất đơn vị sự nghiệp công lập được thực hiện khi có một trong các điều kiện quy định tại </w:t>
      </w:r>
      <w:bookmarkStart w:id="2" w:name="dc_2"/>
      <w:r>
        <w:rPr>
          <w:sz w:val="28"/>
          <w:szCs w:val="28"/>
        </w:rPr>
        <w:t xml:space="preserve">điểm a, b, c </w:t>
      </w:r>
      <w:r w:rsidRPr="001204A5">
        <w:rPr>
          <w:sz w:val="28"/>
          <w:szCs w:val="28"/>
        </w:rPr>
        <w:t>khoản 2 Điều 5 Nghị định số 120/2020/NĐ-CP</w:t>
      </w:r>
      <w:bookmarkEnd w:id="2"/>
      <w:r w:rsidRPr="001204A5">
        <w:rPr>
          <w:sz w:val="28"/>
          <w:szCs w:val="28"/>
        </w:rPr>
        <w:t>.</w:t>
      </w:r>
      <w:proofErr w:type="gramEnd"/>
    </w:p>
    <w:p w:rsidR="009B4265" w:rsidRDefault="00665F44" w:rsidP="006714A1">
      <w:pPr>
        <w:pStyle w:val="NormalWeb"/>
        <w:autoSpaceDE w:val="0"/>
        <w:autoSpaceDN w:val="0"/>
        <w:spacing w:before="80" w:beforeAutospacing="0" w:after="80" w:afterAutospacing="0" w:line="340" w:lineRule="exact"/>
        <w:ind w:firstLine="709"/>
        <w:jc w:val="both"/>
        <w:rPr>
          <w:sz w:val="28"/>
          <w:szCs w:val="28"/>
        </w:rPr>
      </w:pPr>
      <w:r w:rsidRPr="001204A5">
        <w:rPr>
          <w:sz w:val="28"/>
          <w:szCs w:val="28"/>
        </w:rPr>
        <w:t xml:space="preserve">2. Đơn vị sự nghiệp công lập hình thành sau quá trình sáp nhập, hợp nhất phải đáp ứng đủ điều kiện thành lập đơn vị sự nghiệp công lập quy định tại Điều </w:t>
      </w:r>
      <w:r w:rsidR="003A73FE">
        <w:rPr>
          <w:sz w:val="28"/>
          <w:szCs w:val="28"/>
        </w:rPr>
        <w:t>5</w:t>
      </w:r>
      <w:r w:rsidRPr="001204A5">
        <w:rPr>
          <w:sz w:val="28"/>
          <w:szCs w:val="28"/>
        </w:rPr>
        <w:t xml:space="preserve"> Thông tư này. Việc sáp nhập, hợp nhất đơn vị sự nghiệp công lập bảo đảm không làm giảm mức độ tự chủ về tài chính hiện có của đơn vị; trường hợp thực hiện sáp nhập, hợp nhất các đơn vị sự nghiệp công lập tự chủ tài chính ở các mức độ khác nhau thì mức độ tự chủ tài chính của đơn vị sự nghiệp công lập sau khi sáp nhập, hợp nhất được thực hiện theo quyết định của cơ quan có thẩm quyền</w:t>
      </w:r>
      <w:r>
        <w:rPr>
          <w:sz w:val="28"/>
          <w:szCs w:val="28"/>
        </w:rPr>
        <w:t>”</w:t>
      </w:r>
      <w:r w:rsidRPr="001204A5">
        <w:rPr>
          <w:sz w:val="28"/>
          <w:szCs w:val="28"/>
        </w:rPr>
        <w:t>.</w:t>
      </w:r>
    </w:p>
    <w:p w:rsidR="00665F44" w:rsidRDefault="00665F44" w:rsidP="006714A1">
      <w:pPr>
        <w:pStyle w:val="NormalWeb"/>
        <w:autoSpaceDE w:val="0"/>
        <w:autoSpaceDN w:val="0"/>
        <w:spacing w:before="80" w:beforeAutospacing="0" w:after="80" w:afterAutospacing="0" w:line="340" w:lineRule="exact"/>
        <w:ind w:firstLine="709"/>
        <w:jc w:val="both"/>
        <w:rPr>
          <w:sz w:val="28"/>
          <w:szCs w:val="28"/>
        </w:rPr>
      </w:pPr>
      <w:r w:rsidRPr="00665F44">
        <w:rPr>
          <w:sz w:val="28"/>
          <w:szCs w:val="28"/>
        </w:rPr>
        <w:t>Trên đây là báo cáo của Vụ Tổ chức cán bộ về việc tiếp thu, giải trình ý kiến của Bộ Nội vụ về dự thảo Thông tư của Bộ trưởng Bộ Tư pháp quy định tiêu chí phân loại, điều kiện thành lập, sáp nhập, hợp nhất, giải thể đơn vị sự nghiệp công lập thuộc ngành, lĩnh vực tư pháp</w:t>
      </w:r>
      <w:r>
        <w:rPr>
          <w:sz w:val="28"/>
          <w:szCs w:val="28"/>
        </w:rPr>
        <w:t>, kính báo cáo Bộ trưởng và Hội đồng thẩm định Thông tư</w:t>
      </w:r>
      <w:proofErr w:type="gramStart"/>
      <w:r>
        <w:rPr>
          <w:sz w:val="28"/>
          <w:szCs w:val="28"/>
        </w:rPr>
        <w:t>./</w:t>
      </w:r>
      <w:proofErr w:type="gramEnd"/>
      <w:r>
        <w:rPr>
          <w:sz w:val="28"/>
          <w:szCs w:val="28"/>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12"/>
      </w:tblGrid>
      <w:tr w:rsidR="0089544D" w:rsidRPr="0053788A" w:rsidTr="00162F13">
        <w:tc>
          <w:tcPr>
            <w:tcW w:w="4077" w:type="dxa"/>
            <w:hideMark/>
          </w:tcPr>
          <w:p w:rsidR="0089544D" w:rsidRPr="0053788A" w:rsidRDefault="0089544D" w:rsidP="00162F13">
            <w:pPr>
              <w:jc w:val="both"/>
              <w:rPr>
                <w:rFonts w:ascii="Times New Roman" w:hAnsi="Times New Roman"/>
                <w:b/>
                <w:i/>
                <w:sz w:val="24"/>
                <w:szCs w:val="24"/>
              </w:rPr>
            </w:pPr>
            <w:r w:rsidRPr="0053788A">
              <w:rPr>
                <w:rFonts w:ascii="Times New Roman" w:hAnsi="Times New Roman"/>
                <w:b/>
                <w:i/>
                <w:sz w:val="24"/>
                <w:szCs w:val="24"/>
              </w:rPr>
              <w:t>Nơi nhận:</w:t>
            </w:r>
          </w:p>
          <w:p w:rsidR="0089544D" w:rsidRDefault="0089544D" w:rsidP="00162F13">
            <w:pPr>
              <w:jc w:val="both"/>
              <w:rPr>
                <w:rFonts w:ascii="Times New Roman" w:hAnsi="Times New Roman"/>
              </w:rPr>
            </w:pPr>
            <w:r w:rsidRPr="0053788A">
              <w:rPr>
                <w:rFonts w:ascii="Times New Roman" w:hAnsi="Times New Roman"/>
              </w:rPr>
              <w:t xml:space="preserve">- </w:t>
            </w:r>
            <w:r>
              <w:rPr>
                <w:rFonts w:ascii="Times New Roman" w:hAnsi="Times New Roman"/>
              </w:rPr>
              <w:t>Bộ trưởng (để b/cáo);</w:t>
            </w:r>
          </w:p>
          <w:p w:rsidR="00C70994" w:rsidRPr="0053788A" w:rsidRDefault="00C70994" w:rsidP="00162F13">
            <w:pPr>
              <w:jc w:val="both"/>
              <w:rPr>
                <w:rFonts w:ascii="Times New Roman" w:hAnsi="Times New Roman"/>
              </w:rPr>
            </w:pPr>
            <w:r>
              <w:rPr>
                <w:rFonts w:ascii="Times New Roman" w:hAnsi="Times New Roman"/>
              </w:rPr>
              <w:t>- Các Thứ trưởng (để b/cáo);</w:t>
            </w:r>
          </w:p>
          <w:p w:rsidR="0089544D" w:rsidRDefault="0089544D" w:rsidP="00162F13">
            <w:pPr>
              <w:jc w:val="both"/>
              <w:rPr>
                <w:rFonts w:ascii="Times New Roman" w:hAnsi="Times New Roman"/>
              </w:rPr>
            </w:pPr>
            <w:r w:rsidRPr="0053788A">
              <w:rPr>
                <w:rFonts w:ascii="Times New Roman" w:hAnsi="Times New Roman"/>
              </w:rPr>
              <w:t xml:space="preserve">- </w:t>
            </w:r>
            <w:r>
              <w:rPr>
                <w:rFonts w:ascii="Times New Roman" w:hAnsi="Times New Roman"/>
              </w:rPr>
              <w:t>Hội đồng thẩm định</w:t>
            </w:r>
            <w:r w:rsidRPr="0053788A">
              <w:rPr>
                <w:rFonts w:ascii="Times New Roman" w:hAnsi="Times New Roman"/>
              </w:rPr>
              <w:t xml:space="preserve"> (để b</w:t>
            </w:r>
            <w:r>
              <w:rPr>
                <w:rFonts w:ascii="Times New Roman" w:hAnsi="Times New Roman"/>
              </w:rPr>
              <w:t>/cáo</w:t>
            </w:r>
            <w:r w:rsidRPr="0053788A">
              <w:rPr>
                <w:rFonts w:ascii="Times New Roman" w:hAnsi="Times New Roman"/>
              </w:rPr>
              <w:t>);</w:t>
            </w:r>
          </w:p>
          <w:p w:rsidR="0089544D" w:rsidRPr="0053788A" w:rsidRDefault="0089544D" w:rsidP="00162F13">
            <w:pPr>
              <w:jc w:val="both"/>
              <w:rPr>
                <w:rFonts w:ascii="Times New Roman" w:hAnsi="Times New Roman"/>
                <w:sz w:val="28"/>
              </w:rPr>
            </w:pPr>
            <w:r w:rsidRPr="0053788A">
              <w:rPr>
                <w:rFonts w:ascii="Times New Roman" w:hAnsi="Times New Roman"/>
              </w:rPr>
              <w:t>- Lưu: VT, TCCB.</w:t>
            </w:r>
          </w:p>
        </w:tc>
        <w:tc>
          <w:tcPr>
            <w:tcW w:w="5812" w:type="dxa"/>
          </w:tcPr>
          <w:p w:rsidR="0089544D" w:rsidRDefault="0089544D" w:rsidP="00162F13">
            <w:pPr>
              <w:jc w:val="center"/>
              <w:rPr>
                <w:rFonts w:ascii="Times New Roman" w:hAnsi="Times New Roman"/>
                <w:b/>
                <w:sz w:val="28"/>
              </w:rPr>
            </w:pPr>
            <w:r>
              <w:rPr>
                <w:rFonts w:ascii="Times New Roman" w:hAnsi="Times New Roman"/>
                <w:b/>
                <w:sz w:val="28"/>
              </w:rPr>
              <w:t xml:space="preserve">Q. VỤ TRƯỞNG </w:t>
            </w:r>
          </w:p>
          <w:p w:rsidR="0089544D" w:rsidRDefault="0089544D" w:rsidP="00295CA6">
            <w:pPr>
              <w:rPr>
                <w:rFonts w:ascii="Times New Roman" w:hAnsi="Times New Roman"/>
                <w:b/>
                <w:sz w:val="28"/>
              </w:rPr>
            </w:pPr>
          </w:p>
          <w:p w:rsidR="007F0423" w:rsidRDefault="007F0423" w:rsidP="00162F13">
            <w:pPr>
              <w:jc w:val="center"/>
              <w:rPr>
                <w:rFonts w:ascii="Times New Roman" w:hAnsi="Times New Roman"/>
                <w:b/>
                <w:sz w:val="28"/>
              </w:rPr>
            </w:pPr>
          </w:p>
          <w:p w:rsidR="0089544D" w:rsidRDefault="0089544D" w:rsidP="00162F13">
            <w:pPr>
              <w:jc w:val="center"/>
              <w:rPr>
                <w:rFonts w:ascii="Times New Roman" w:hAnsi="Times New Roman"/>
                <w:b/>
                <w:sz w:val="28"/>
              </w:rPr>
            </w:pPr>
          </w:p>
          <w:p w:rsidR="0089544D" w:rsidRDefault="0089544D" w:rsidP="00162F13">
            <w:pPr>
              <w:jc w:val="center"/>
              <w:rPr>
                <w:rFonts w:ascii="Times New Roman" w:hAnsi="Times New Roman"/>
                <w:b/>
                <w:sz w:val="28"/>
              </w:rPr>
            </w:pPr>
          </w:p>
          <w:p w:rsidR="0089544D" w:rsidRPr="00295CA6" w:rsidRDefault="0089544D" w:rsidP="00295CA6">
            <w:pPr>
              <w:spacing w:before="120"/>
              <w:jc w:val="center"/>
              <w:rPr>
                <w:rFonts w:ascii="Times New Roman" w:hAnsi="Times New Roman"/>
                <w:b/>
                <w:sz w:val="28"/>
              </w:rPr>
            </w:pPr>
            <w:r>
              <w:rPr>
                <w:rFonts w:ascii="Times New Roman" w:hAnsi="Times New Roman"/>
                <w:b/>
                <w:sz w:val="28"/>
              </w:rPr>
              <w:t>Phan Thị Hồng Hà</w:t>
            </w:r>
          </w:p>
        </w:tc>
      </w:tr>
    </w:tbl>
    <w:p w:rsidR="0089544D" w:rsidRPr="00665F44" w:rsidRDefault="0089544D" w:rsidP="006714A1">
      <w:pPr>
        <w:pStyle w:val="NormalWeb"/>
        <w:autoSpaceDE w:val="0"/>
        <w:autoSpaceDN w:val="0"/>
        <w:spacing w:before="120" w:beforeAutospacing="0" w:after="120" w:afterAutospacing="0" w:line="340" w:lineRule="exact"/>
        <w:jc w:val="both"/>
        <w:rPr>
          <w:sz w:val="28"/>
          <w:szCs w:val="28"/>
        </w:rPr>
      </w:pPr>
    </w:p>
    <w:sectPr w:rsidR="0089544D" w:rsidRPr="00665F44" w:rsidSect="005F1D4F">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6E" w:rsidRDefault="005E4A6E" w:rsidP="005F1D4F">
      <w:r>
        <w:separator/>
      </w:r>
    </w:p>
  </w:endnote>
  <w:endnote w:type="continuationSeparator" w:id="0">
    <w:p w:rsidR="005E4A6E" w:rsidRDefault="005E4A6E" w:rsidP="005F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6E" w:rsidRDefault="005E4A6E" w:rsidP="005F1D4F">
      <w:r>
        <w:separator/>
      </w:r>
    </w:p>
  </w:footnote>
  <w:footnote w:type="continuationSeparator" w:id="0">
    <w:p w:rsidR="005E4A6E" w:rsidRDefault="005E4A6E" w:rsidP="005F1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805426"/>
      <w:docPartObj>
        <w:docPartGallery w:val="Page Numbers (Top of Page)"/>
        <w:docPartUnique/>
      </w:docPartObj>
    </w:sdtPr>
    <w:sdtEndPr>
      <w:rPr>
        <w:noProof/>
      </w:rPr>
    </w:sdtEndPr>
    <w:sdtContent>
      <w:p w:rsidR="005F1D4F" w:rsidRDefault="005F1D4F">
        <w:pPr>
          <w:pStyle w:val="Header"/>
          <w:jc w:val="center"/>
        </w:pPr>
        <w:r>
          <w:fldChar w:fldCharType="begin"/>
        </w:r>
        <w:r>
          <w:instrText xml:space="preserve"> PAGE   \* MERGEFORMAT </w:instrText>
        </w:r>
        <w:r>
          <w:fldChar w:fldCharType="separate"/>
        </w:r>
        <w:r w:rsidR="00A51C0A">
          <w:rPr>
            <w:noProof/>
          </w:rPr>
          <w:t>4</w:t>
        </w:r>
        <w:r>
          <w:rPr>
            <w:noProof/>
          </w:rPr>
          <w:fldChar w:fldCharType="end"/>
        </w:r>
      </w:p>
    </w:sdtContent>
  </w:sdt>
  <w:p w:rsidR="005F1D4F" w:rsidRDefault="005F1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A1"/>
    <w:rsid w:val="0005218A"/>
    <w:rsid w:val="0009667E"/>
    <w:rsid w:val="00183E92"/>
    <w:rsid w:val="00295CA6"/>
    <w:rsid w:val="00394E11"/>
    <w:rsid w:val="003A63E4"/>
    <w:rsid w:val="003A73FE"/>
    <w:rsid w:val="003F05A7"/>
    <w:rsid w:val="005920B6"/>
    <w:rsid w:val="005E4A6E"/>
    <w:rsid w:val="005F1D4F"/>
    <w:rsid w:val="00665F44"/>
    <w:rsid w:val="006714A1"/>
    <w:rsid w:val="00686B01"/>
    <w:rsid w:val="007F0423"/>
    <w:rsid w:val="0089544D"/>
    <w:rsid w:val="008B344C"/>
    <w:rsid w:val="008C424D"/>
    <w:rsid w:val="008E0CA1"/>
    <w:rsid w:val="009830A0"/>
    <w:rsid w:val="009B4265"/>
    <w:rsid w:val="009C52F8"/>
    <w:rsid w:val="009F575E"/>
    <w:rsid w:val="00A51C0A"/>
    <w:rsid w:val="00C70994"/>
    <w:rsid w:val="00C96D1F"/>
    <w:rsid w:val="00C9780B"/>
    <w:rsid w:val="00DD5323"/>
    <w:rsid w:val="00DE6695"/>
    <w:rsid w:val="00E45CA5"/>
    <w:rsid w:val="00E87284"/>
    <w:rsid w:val="00F8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6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D4F"/>
    <w:pPr>
      <w:tabs>
        <w:tab w:val="center" w:pos="4680"/>
        <w:tab w:val="right" w:pos="9360"/>
      </w:tabs>
    </w:pPr>
  </w:style>
  <w:style w:type="character" w:customStyle="1" w:styleId="HeaderChar">
    <w:name w:val="Header Char"/>
    <w:basedOn w:val="DefaultParagraphFont"/>
    <w:link w:val="Header"/>
    <w:uiPriority w:val="99"/>
    <w:rsid w:val="005F1D4F"/>
    <w:rPr>
      <w:rFonts w:eastAsia="Times New Roman" w:cs="Times New Roman"/>
      <w:szCs w:val="28"/>
    </w:rPr>
  </w:style>
  <w:style w:type="paragraph" w:styleId="Footer">
    <w:name w:val="footer"/>
    <w:basedOn w:val="Normal"/>
    <w:link w:val="FooterChar"/>
    <w:uiPriority w:val="99"/>
    <w:unhideWhenUsed/>
    <w:rsid w:val="005F1D4F"/>
    <w:pPr>
      <w:tabs>
        <w:tab w:val="center" w:pos="4680"/>
        <w:tab w:val="right" w:pos="9360"/>
      </w:tabs>
    </w:pPr>
  </w:style>
  <w:style w:type="character" w:customStyle="1" w:styleId="FooterChar">
    <w:name w:val="Footer Char"/>
    <w:basedOn w:val="DefaultParagraphFont"/>
    <w:link w:val="Footer"/>
    <w:uiPriority w:val="99"/>
    <w:rsid w:val="005F1D4F"/>
    <w:rPr>
      <w:rFonts w:eastAsia="Times New Roman" w:cs="Times New Roman"/>
      <w:szCs w:val="28"/>
    </w:rPr>
  </w:style>
  <w:style w:type="paragraph" w:styleId="NormalWeb">
    <w:name w:val="Normal (Web)"/>
    <w:basedOn w:val="Normal"/>
    <w:uiPriority w:val="99"/>
    <w:unhideWhenUsed/>
    <w:rsid w:val="00686B01"/>
    <w:pPr>
      <w:spacing w:before="100" w:beforeAutospacing="1" w:after="100" w:afterAutospacing="1"/>
    </w:pPr>
    <w:rPr>
      <w:sz w:val="24"/>
      <w:szCs w:val="24"/>
    </w:rPr>
  </w:style>
  <w:style w:type="table" w:styleId="TableGrid">
    <w:name w:val="Table Grid"/>
    <w:basedOn w:val="TableNormal"/>
    <w:uiPriority w:val="59"/>
    <w:rsid w:val="0089544D"/>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6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D4F"/>
    <w:pPr>
      <w:tabs>
        <w:tab w:val="center" w:pos="4680"/>
        <w:tab w:val="right" w:pos="9360"/>
      </w:tabs>
    </w:pPr>
  </w:style>
  <w:style w:type="character" w:customStyle="1" w:styleId="HeaderChar">
    <w:name w:val="Header Char"/>
    <w:basedOn w:val="DefaultParagraphFont"/>
    <w:link w:val="Header"/>
    <w:uiPriority w:val="99"/>
    <w:rsid w:val="005F1D4F"/>
    <w:rPr>
      <w:rFonts w:eastAsia="Times New Roman" w:cs="Times New Roman"/>
      <w:szCs w:val="28"/>
    </w:rPr>
  </w:style>
  <w:style w:type="paragraph" w:styleId="Footer">
    <w:name w:val="footer"/>
    <w:basedOn w:val="Normal"/>
    <w:link w:val="FooterChar"/>
    <w:uiPriority w:val="99"/>
    <w:unhideWhenUsed/>
    <w:rsid w:val="005F1D4F"/>
    <w:pPr>
      <w:tabs>
        <w:tab w:val="center" w:pos="4680"/>
        <w:tab w:val="right" w:pos="9360"/>
      </w:tabs>
    </w:pPr>
  </w:style>
  <w:style w:type="character" w:customStyle="1" w:styleId="FooterChar">
    <w:name w:val="Footer Char"/>
    <w:basedOn w:val="DefaultParagraphFont"/>
    <w:link w:val="Footer"/>
    <w:uiPriority w:val="99"/>
    <w:rsid w:val="005F1D4F"/>
    <w:rPr>
      <w:rFonts w:eastAsia="Times New Roman" w:cs="Times New Roman"/>
      <w:szCs w:val="28"/>
    </w:rPr>
  </w:style>
  <w:style w:type="paragraph" w:styleId="NormalWeb">
    <w:name w:val="Normal (Web)"/>
    <w:basedOn w:val="Normal"/>
    <w:uiPriority w:val="99"/>
    <w:unhideWhenUsed/>
    <w:rsid w:val="00686B01"/>
    <w:pPr>
      <w:spacing w:before="100" w:beforeAutospacing="1" w:after="100" w:afterAutospacing="1"/>
    </w:pPr>
    <w:rPr>
      <w:sz w:val="24"/>
      <w:szCs w:val="24"/>
    </w:rPr>
  </w:style>
  <w:style w:type="table" w:styleId="TableGrid">
    <w:name w:val="Table Grid"/>
    <w:basedOn w:val="TableNormal"/>
    <w:uiPriority w:val="59"/>
    <w:rsid w:val="0089544D"/>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4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DEFC9-0D25-4D5C-BF55-4BA2A8108E19}"/>
</file>

<file path=customXml/itemProps2.xml><?xml version="1.0" encoding="utf-8"?>
<ds:datastoreItem xmlns:ds="http://schemas.openxmlformats.org/officeDocument/2006/customXml" ds:itemID="{388064B7-E266-4C73-9F3C-46EDCBD459DC}"/>
</file>

<file path=customXml/itemProps3.xml><?xml version="1.0" encoding="utf-8"?>
<ds:datastoreItem xmlns:ds="http://schemas.openxmlformats.org/officeDocument/2006/customXml" ds:itemID="{92F1714D-BE22-49A5-9E3C-E13488A0F3FC}"/>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2022-02-18T02:06:00Z</dcterms:created>
  <dcterms:modified xsi:type="dcterms:W3CDTF">2022-02-18T02:06:00Z</dcterms:modified>
</cp:coreProperties>
</file>